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CDE" w:rsidRDefault="009A0CE1">
      <w:pPr>
        <w:rPr>
          <w:b/>
        </w:rPr>
      </w:pPr>
      <w:r w:rsidRPr="009A0CE1">
        <w:rPr>
          <w:b/>
        </w:rPr>
        <w:t xml:space="preserve">Government: </w:t>
      </w:r>
      <w:r w:rsidR="002F5992">
        <w:rPr>
          <w:b/>
        </w:rPr>
        <w:t>NAACP Brief Questions</w:t>
      </w:r>
      <w:r>
        <w:rPr>
          <w:b/>
        </w:rPr>
        <w:tab/>
      </w:r>
      <w:r>
        <w:rPr>
          <w:b/>
        </w:rPr>
        <w:tab/>
        <w:t>Name: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Date:</w:t>
      </w:r>
    </w:p>
    <w:p w:rsidR="00F44259" w:rsidRPr="00F44259" w:rsidRDefault="00F44259" w:rsidP="003929FA">
      <w:pPr>
        <w:rPr>
          <w:b/>
          <w:u w:val="single"/>
        </w:rPr>
      </w:pPr>
      <w:r>
        <w:rPr>
          <w:b/>
          <w:u w:val="single"/>
        </w:rPr>
        <w:t>READ THIS FIRST:</w:t>
      </w:r>
    </w:p>
    <w:p w:rsidR="009A0CE1" w:rsidRDefault="003929FA" w:rsidP="003929FA">
      <w:r>
        <w:t xml:space="preserve">Interest groups often submit </w:t>
      </w:r>
      <w:r w:rsidR="00F44259">
        <w:rPr>
          <w:i/>
        </w:rPr>
        <w:t>amicus c</w:t>
      </w:r>
      <w:r w:rsidRPr="003929FA">
        <w:rPr>
          <w:i/>
        </w:rPr>
        <w:t>uriae</w:t>
      </w:r>
      <w:r>
        <w:t xml:space="preserve"> briefs (“friend of the court” in Latin) to help justices determine facts or important issues surrounding a case. The court </w:t>
      </w:r>
      <w:r w:rsidR="00F44259">
        <w:t xml:space="preserve">can </w:t>
      </w:r>
      <w:r>
        <w:t>decide whether or not to use these briefs. Courts often seek amicus curiae briefs from the NAACP for civil rights cases.</w:t>
      </w:r>
    </w:p>
    <w:p w:rsidR="00F44259" w:rsidRDefault="00F44259" w:rsidP="003929FA">
      <w:r>
        <w:t xml:space="preserve">You </w:t>
      </w:r>
      <w:r w:rsidR="00525564">
        <w:t>will</w:t>
      </w:r>
      <w:r>
        <w:t xml:space="preserve"> read an excerpt from an amicus curiae brief submitted to the 5</w:t>
      </w:r>
      <w:r w:rsidRPr="00F44259">
        <w:rPr>
          <w:vertAlign w:val="superscript"/>
        </w:rPr>
        <w:t>th</w:t>
      </w:r>
      <w:r>
        <w:t xml:space="preserve"> Circuit Court of Appeals by the NAACP.</w:t>
      </w:r>
      <w:r w:rsidR="00D65658">
        <w:t xml:space="preserve"> Go to </w:t>
      </w:r>
      <w:hyperlink r:id="rId5" w:history="1">
        <w:r w:rsidR="00D65658" w:rsidRPr="00FE28BD">
          <w:rPr>
            <w:rStyle w:val="Hyperlink"/>
          </w:rPr>
          <w:t>http://www.naacp.org/pages/amicus-briefs</w:t>
        </w:r>
      </w:hyperlink>
      <w:r w:rsidR="00D65658">
        <w:t xml:space="preserve"> and click on Marvin Lee Wilson v Rick </w:t>
      </w:r>
      <w:proofErr w:type="spellStart"/>
      <w:r w:rsidR="00D65658">
        <w:t>Thaler</w:t>
      </w:r>
      <w:proofErr w:type="spellEnd"/>
      <w:r w:rsidR="00D65658">
        <w:t>. Use pages 10-15 to answer the questions below.</w:t>
      </w:r>
    </w:p>
    <w:p w:rsidR="009A0CE1" w:rsidRDefault="003929FA" w:rsidP="009A0CE1">
      <w:pPr>
        <w:pStyle w:val="ListParagraph"/>
        <w:numPr>
          <w:ilvl w:val="0"/>
          <w:numId w:val="1"/>
        </w:numPr>
      </w:pPr>
      <w:r>
        <w:t xml:space="preserve">Read the NAACP’s “Statement of Interest” on page </w:t>
      </w:r>
      <w:r w:rsidR="00D65658">
        <w:t>10</w:t>
      </w:r>
      <w:r>
        <w:t>. What is the goal of this interest group?</w:t>
      </w:r>
    </w:p>
    <w:p w:rsidR="003929FA" w:rsidRDefault="003929FA" w:rsidP="003929FA">
      <w:pPr>
        <w:ind w:left="360"/>
      </w:pPr>
    </w:p>
    <w:p w:rsidR="003929FA" w:rsidRDefault="003929FA" w:rsidP="003929FA">
      <w:pPr>
        <w:ind w:left="360"/>
      </w:pPr>
    </w:p>
    <w:p w:rsidR="003929FA" w:rsidRDefault="003929FA" w:rsidP="003929FA">
      <w:pPr>
        <w:pStyle w:val="ListParagraph"/>
        <w:numPr>
          <w:ilvl w:val="0"/>
          <w:numId w:val="1"/>
        </w:numPr>
      </w:pPr>
      <w:r>
        <w:t>In the “Summary of Argument,” it is expressed that this case deals with executing a mentally retarded individual. What case set the standard for such executions, and what is the standard?</w:t>
      </w:r>
    </w:p>
    <w:p w:rsidR="006542C8" w:rsidRDefault="006542C8" w:rsidP="006542C8"/>
    <w:p w:rsidR="006542C8" w:rsidRDefault="006542C8" w:rsidP="006542C8"/>
    <w:p w:rsidR="006542C8" w:rsidRDefault="006542C8" w:rsidP="006542C8">
      <w:pPr>
        <w:pStyle w:val="ListParagraph"/>
        <w:numPr>
          <w:ilvl w:val="0"/>
          <w:numId w:val="1"/>
        </w:numPr>
      </w:pPr>
      <w:r>
        <w:t>The Texas Criminal Court of Appeals does not follow the precedent that was set by the Atkins case. How d</w:t>
      </w:r>
      <w:r w:rsidR="00263FBE">
        <w:t>oes the TCCA determine what constitutes</w:t>
      </w:r>
      <w:r>
        <w:t xml:space="preserve"> “mental retardation,” and why </w:t>
      </w:r>
      <w:proofErr w:type="gramStart"/>
      <w:r>
        <w:t>are</w:t>
      </w:r>
      <w:proofErr w:type="gramEnd"/>
      <w:r>
        <w:t xml:space="preserve"> some interest groups concerned with this?</w:t>
      </w:r>
    </w:p>
    <w:p w:rsidR="00263FBE" w:rsidRDefault="00263FBE" w:rsidP="003929FA"/>
    <w:p w:rsidR="00F44259" w:rsidRDefault="00F44259" w:rsidP="003929FA"/>
    <w:p w:rsidR="003929FA" w:rsidRDefault="003929FA" w:rsidP="003929FA">
      <w:pPr>
        <w:pStyle w:val="ListParagraph"/>
        <w:numPr>
          <w:ilvl w:val="0"/>
          <w:numId w:val="1"/>
        </w:numPr>
      </w:pPr>
      <w:r>
        <w:t>Begin reading the argume</w:t>
      </w:r>
      <w:r w:rsidR="00263FBE">
        <w:t xml:space="preserve">nt. What are the three </w:t>
      </w:r>
      <w:proofErr w:type="gramStart"/>
      <w:r w:rsidR="00263FBE">
        <w:t>criterion</w:t>
      </w:r>
      <w:proofErr w:type="gramEnd"/>
      <w:r>
        <w:t xml:space="preserve"> for determining mental retardation?</w:t>
      </w:r>
    </w:p>
    <w:p w:rsidR="003929FA" w:rsidRDefault="003929FA" w:rsidP="003929FA"/>
    <w:p w:rsidR="00F44259" w:rsidRDefault="00F44259" w:rsidP="003929FA"/>
    <w:p w:rsidR="003929FA" w:rsidRDefault="00F44259" w:rsidP="003929FA">
      <w:pPr>
        <w:pStyle w:val="ListParagraph"/>
        <w:numPr>
          <w:ilvl w:val="0"/>
          <w:numId w:val="1"/>
        </w:numPr>
      </w:pPr>
      <w:r>
        <w:t>After reading through the entire excerpt, what specific point is the NAACP trying to explain/present to the court?</w:t>
      </w:r>
    </w:p>
    <w:p w:rsidR="003929FA" w:rsidRDefault="003929FA" w:rsidP="003929FA"/>
    <w:p w:rsidR="003929FA" w:rsidRDefault="003929FA" w:rsidP="003929FA"/>
    <w:p w:rsidR="003929FA" w:rsidRDefault="003929FA" w:rsidP="003929FA"/>
    <w:p w:rsidR="003929FA" w:rsidRPr="009A0CE1" w:rsidRDefault="003929FA" w:rsidP="003929FA"/>
    <w:sectPr w:rsidR="003929FA" w:rsidRPr="009A0CE1" w:rsidSect="00F442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47275"/>
    <w:multiLevelType w:val="hybridMultilevel"/>
    <w:tmpl w:val="2C96C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A0CE1"/>
    <w:rsid w:val="00263FBE"/>
    <w:rsid w:val="002F5992"/>
    <w:rsid w:val="003929FA"/>
    <w:rsid w:val="0049337C"/>
    <w:rsid w:val="004C1AC5"/>
    <w:rsid w:val="00525564"/>
    <w:rsid w:val="006542C8"/>
    <w:rsid w:val="009A0CE1"/>
    <w:rsid w:val="00A8247F"/>
    <w:rsid w:val="00C01FB5"/>
    <w:rsid w:val="00D2629A"/>
    <w:rsid w:val="00D65658"/>
    <w:rsid w:val="00E50CDE"/>
    <w:rsid w:val="00F44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CE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565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542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acp.org/pages/amicus-brief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2012-01-09T00:11:00Z</dcterms:created>
  <dcterms:modified xsi:type="dcterms:W3CDTF">2012-12-18T16:26:00Z</dcterms:modified>
</cp:coreProperties>
</file>